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4E6" w:rsidRPr="00DA6F24" w:rsidRDefault="00E234E6" w:rsidP="00E234E6">
      <w:pPr>
        <w:adjustRightInd w:val="0"/>
        <w:snapToGrid w:val="0"/>
        <w:spacing w:afterLines="50" w:after="180" w:line="320" w:lineRule="exact"/>
        <w:jc w:val="center"/>
        <w:rPr>
          <w:rFonts w:ascii="標楷體" w:eastAsia="標楷體" w:hAnsi="標楷體"/>
          <w:color w:val="000000" w:themeColor="text1"/>
          <w:sz w:val="28"/>
          <w:szCs w:val="32"/>
        </w:rPr>
      </w:pPr>
      <w:bookmarkStart w:id="0" w:name="_GoBack"/>
      <w:r w:rsidRPr="00DA6F24">
        <w:rPr>
          <w:rFonts w:ascii="標楷體" w:eastAsia="標楷體" w:hAnsi="標楷體" w:hint="eastAsia"/>
          <w:color w:val="000000" w:themeColor="text1"/>
          <w:sz w:val="28"/>
          <w:szCs w:val="32"/>
        </w:rPr>
        <w:t>國立</w:t>
      </w:r>
      <w:proofErr w:type="gramStart"/>
      <w:r w:rsidRPr="00DA6F24">
        <w:rPr>
          <w:rFonts w:ascii="標楷體" w:eastAsia="標楷體" w:hAnsi="標楷體" w:hint="eastAsia"/>
          <w:color w:val="000000" w:themeColor="text1"/>
          <w:sz w:val="28"/>
          <w:szCs w:val="32"/>
        </w:rPr>
        <w:t>臺</w:t>
      </w:r>
      <w:proofErr w:type="gramEnd"/>
      <w:r w:rsidRPr="00DA6F24">
        <w:rPr>
          <w:rFonts w:ascii="標楷體" w:eastAsia="標楷體" w:hAnsi="標楷體" w:hint="eastAsia"/>
          <w:color w:val="000000" w:themeColor="text1"/>
          <w:sz w:val="28"/>
          <w:szCs w:val="32"/>
        </w:rPr>
        <w:t>中教育大學校務基金進用工作人員</w:t>
      </w:r>
      <w:proofErr w:type="gramStart"/>
      <w:r w:rsidRPr="00DA6F24">
        <w:rPr>
          <w:rFonts w:ascii="標楷體" w:eastAsia="標楷體" w:hAnsi="標楷體" w:hint="eastAsia"/>
          <w:color w:val="000000" w:themeColor="text1"/>
          <w:sz w:val="28"/>
          <w:szCs w:val="32"/>
        </w:rPr>
        <w:t>陞</w:t>
      </w:r>
      <w:proofErr w:type="gramEnd"/>
      <w:r w:rsidRPr="00DA6F24">
        <w:rPr>
          <w:rFonts w:ascii="標楷體" w:eastAsia="標楷體" w:hAnsi="標楷體" w:hint="eastAsia"/>
          <w:color w:val="000000" w:themeColor="text1"/>
          <w:sz w:val="28"/>
          <w:szCs w:val="32"/>
        </w:rPr>
        <w:t>遷評分標準表</w:t>
      </w:r>
      <w:bookmarkEnd w:id="0"/>
    </w:p>
    <w:p w:rsidR="00E234E6" w:rsidRPr="001F2182" w:rsidRDefault="00E234E6" w:rsidP="00E234E6">
      <w:pPr>
        <w:spacing w:line="260" w:lineRule="exact"/>
        <w:ind w:right="-2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112年11月21日112學年度第4次</w:t>
      </w:r>
      <w:r w:rsidRPr="001F2182">
        <w:rPr>
          <w:rFonts w:ascii="標楷體" w:eastAsia="標楷體" w:hAnsi="標楷體" w:hint="eastAsia"/>
          <w:color w:val="000000" w:themeColor="text1"/>
          <w:sz w:val="20"/>
          <w:szCs w:val="20"/>
        </w:rPr>
        <w:t>行政會議修正通過</w:t>
      </w:r>
    </w:p>
    <w:p w:rsidR="00E234E6" w:rsidRPr="001F2182" w:rsidRDefault="00E234E6" w:rsidP="00E234E6">
      <w:pPr>
        <w:widowControl/>
        <w:spacing w:line="260" w:lineRule="exact"/>
        <w:jc w:val="right"/>
        <w:rPr>
          <w:rFonts w:ascii="標楷體" w:eastAsia="標楷體" w:hAnsi="標楷體"/>
          <w:color w:val="000000" w:themeColor="text1"/>
          <w:kern w:val="0"/>
          <w:sz w:val="20"/>
          <w:szCs w:val="20"/>
        </w:rPr>
      </w:pP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112年12月5日</w:t>
      </w:r>
      <w:proofErr w:type="gramStart"/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112</w:t>
      </w:r>
      <w:proofErr w:type="gramEnd"/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年度第4次</w:t>
      </w:r>
      <w:r w:rsidRPr="001F2182">
        <w:rPr>
          <w:rFonts w:ascii="標楷體" w:eastAsia="標楷體" w:hAnsi="標楷體" w:hint="eastAsia"/>
          <w:color w:val="000000" w:themeColor="text1"/>
          <w:sz w:val="20"/>
          <w:szCs w:val="20"/>
        </w:rPr>
        <w:t>校務基金管理委員會議修正通過</w:t>
      </w:r>
    </w:p>
    <w:tbl>
      <w:tblPr>
        <w:tblW w:w="10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5"/>
        <w:gridCol w:w="702"/>
        <w:gridCol w:w="2833"/>
        <w:gridCol w:w="818"/>
        <w:gridCol w:w="4063"/>
      </w:tblGrid>
      <w:tr w:rsidR="00E234E6" w:rsidRPr="00383144" w:rsidTr="008D6E5B">
        <w:trPr>
          <w:trHeight w:val="753"/>
          <w:tblHeader/>
          <w:jc w:val="center"/>
        </w:trPr>
        <w:tc>
          <w:tcPr>
            <w:tcW w:w="1755" w:type="dxa"/>
            <w:vAlign w:val="center"/>
          </w:tcPr>
          <w:p w:rsidR="00E234E6" w:rsidRPr="00DA6F24" w:rsidRDefault="00E234E6" w:rsidP="008D6E5B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702" w:type="dxa"/>
            <w:vAlign w:val="center"/>
          </w:tcPr>
          <w:p w:rsidR="00E234E6" w:rsidRPr="00DA6F24" w:rsidRDefault="00E234E6" w:rsidP="008D6E5B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最高配分</w:t>
            </w:r>
          </w:p>
        </w:tc>
        <w:tc>
          <w:tcPr>
            <w:tcW w:w="2833" w:type="dxa"/>
            <w:vAlign w:val="center"/>
          </w:tcPr>
          <w:p w:rsidR="00E234E6" w:rsidRPr="00DA6F24" w:rsidRDefault="00E234E6" w:rsidP="008D6E5B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評比項目</w:t>
            </w:r>
          </w:p>
        </w:tc>
        <w:tc>
          <w:tcPr>
            <w:tcW w:w="818" w:type="dxa"/>
            <w:vAlign w:val="center"/>
          </w:tcPr>
          <w:p w:rsidR="00E234E6" w:rsidRPr="00DA6F24" w:rsidRDefault="00E234E6" w:rsidP="008D6E5B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配分標準</w:t>
            </w:r>
          </w:p>
        </w:tc>
        <w:tc>
          <w:tcPr>
            <w:tcW w:w="4063" w:type="dxa"/>
            <w:vAlign w:val="center"/>
          </w:tcPr>
          <w:p w:rsidR="00E234E6" w:rsidRPr="00DA6F24" w:rsidRDefault="00E234E6" w:rsidP="008D6E5B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說明</w:t>
            </w:r>
          </w:p>
        </w:tc>
      </w:tr>
      <w:tr w:rsidR="00E234E6" w:rsidRPr="00383144" w:rsidTr="008D6E5B">
        <w:trPr>
          <w:trHeight w:val="1330"/>
          <w:jc w:val="center"/>
        </w:trPr>
        <w:tc>
          <w:tcPr>
            <w:tcW w:w="1755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年資</w:t>
            </w:r>
          </w:p>
        </w:tc>
        <w:tc>
          <w:tcPr>
            <w:tcW w:w="702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>8</w:t>
            </w:r>
          </w:p>
        </w:tc>
        <w:tc>
          <w:tcPr>
            <w:tcW w:w="2833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服務年資每滿一年</w:t>
            </w:r>
          </w:p>
        </w:tc>
        <w:tc>
          <w:tcPr>
            <w:tcW w:w="818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  <w:tc>
          <w:tcPr>
            <w:tcW w:w="4063" w:type="dxa"/>
          </w:tcPr>
          <w:p w:rsidR="00E234E6" w:rsidRPr="00DA6F24" w:rsidRDefault="00E234E6" w:rsidP="008D6E5B">
            <w:pPr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一、服務年資以在本校</w:t>
            </w:r>
            <w:proofErr w:type="gramStart"/>
            <w:r w:rsidRPr="00DA6F24">
              <w:rPr>
                <w:rFonts w:ascii="標楷體" w:eastAsia="標楷體" w:hAnsi="標楷體" w:hint="eastAsia"/>
                <w:color w:val="000000" w:themeColor="text1"/>
              </w:rPr>
              <w:t>擔任校基人員</w:t>
            </w:r>
            <w:proofErr w:type="gramEnd"/>
            <w:r w:rsidRPr="00DA6F24">
              <w:rPr>
                <w:rFonts w:ascii="標楷體" w:eastAsia="標楷體" w:hAnsi="標楷體" w:hint="eastAsia"/>
                <w:color w:val="000000" w:themeColor="text1"/>
              </w:rPr>
              <w:t>服務期間為限，年資</w:t>
            </w:r>
            <w:proofErr w:type="gramStart"/>
            <w:r w:rsidRPr="00DA6F24">
              <w:rPr>
                <w:rFonts w:ascii="標楷體" w:eastAsia="標楷體" w:hAnsi="標楷體" w:hint="eastAsia"/>
                <w:color w:val="000000" w:themeColor="text1"/>
              </w:rPr>
              <w:t>採</w:t>
            </w:r>
            <w:proofErr w:type="gramEnd"/>
            <w:r w:rsidRPr="00DA6F24">
              <w:rPr>
                <w:rFonts w:ascii="標楷體" w:eastAsia="標楷體" w:hAnsi="標楷體" w:hint="eastAsia"/>
                <w:color w:val="000000" w:themeColor="text1"/>
              </w:rPr>
              <w:t>計至辦理</w:t>
            </w:r>
            <w:proofErr w:type="gramStart"/>
            <w:r w:rsidRPr="00DA6F24">
              <w:rPr>
                <w:rFonts w:ascii="標楷體" w:eastAsia="標楷體" w:hAnsi="標楷體" w:hint="eastAsia"/>
                <w:color w:val="000000" w:themeColor="text1"/>
              </w:rPr>
              <w:t>陞</w:t>
            </w:r>
            <w:proofErr w:type="gramEnd"/>
            <w:r w:rsidRPr="00DA6F24">
              <w:rPr>
                <w:rFonts w:ascii="標楷體" w:eastAsia="標楷體" w:hAnsi="標楷體" w:hint="eastAsia"/>
                <w:color w:val="000000" w:themeColor="text1"/>
              </w:rPr>
              <w:t>遷當月。</w:t>
            </w:r>
          </w:p>
          <w:p w:rsidR="00E234E6" w:rsidRPr="00DA6F24" w:rsidRDefault="00E234E6" w:rsidP="008D6E5B">
            <w:pPr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二、尾數未滿半年者，核給</w:t>
            </w:r>
            <w:r w:rsidRPr="00DA6F24">
              <w:rPr>
                <w:rFonts w:ascii="標楷體" w:eastAsia="標楷體" w:hAnsi="標楷體"/>
                <w:color w:val="000000" w:themeColor="text1"/>
              </w:rPr>
              <w:t>0.5分；半年以上未滿一年者，以一年計算。</w:t>
            </w:r>
          </w:p>
          <w:p w:rsidR="00E234E6" w:rsidRPr="00DA6F24" w:rsidRDefault="00E234E6" w:rsidP="008D6E5B">
            <w:pPr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三、留職停薪期間之年資不予</w:t>
            </w:r>
            <w:proofErr w:type="gramStart"/>
            <w:r w:rsidRPr="00DA6F24">
              <w:rPr>
                <w:rFonts w:ascii="標楷體" w:eastAsia="標楷體" w:hAnsi="標楷體" w:hint="eastAsia"/>
                <w:color w:val="000000" w:themeColor="text1"/>
              </w:rPr>
              <w:t>採</w:t>
            </w:r>
            <w:proofErr w:type="gramEnd"/>
            <w:r w:rsidRPr="00DA6F24">
              <w:rPr>
                <w:rFonts w:ascii="標楷體" w:eastAsia="標楷體" w:hAnsi="標楷體" w:hint="eastAsia"/>
                <w:color w:val="000000" w:themeColor="text1"/>
              </w:rPr>
              <w:t>計評分。</w:t>
            </w:r>
          </w:p>
        </w:tc>
      </w:tr>
      <w:tr w:rsidR="00E234E6" w:rsidRPr="00383144" w:rsidTr="008D6E5B">
        <w:trPr>
          <w:trHeight w:val="543"/>
          <w:jc w:val="center"/>
        </w:trPr>
        <w:tc>
          <w:tcPr>
            <w:tcW w:w="1755" w:type="dxa"/>
            <w:vMerge w:val="restart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考核</w:t>
            </w:r>
          </w:p>
        </w:tc>
        <w:tc>
          <w:tcPr>
            <w:tcW w:w="702" w:type="dxa"/>
            <w:vMerge w:val="restart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>15</w:t>
            </w:r>
          </w:p>
        </w:tc>
        <w:tc>
          <w:tcPr>
            <w:tcW w:w="2833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優等</w:t>
            </w:r>
          </w:p>
        </w:tc>
        <w:tc>
          <w:tcPr>
            <w:tcW w:w="818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4063" w:type="dxa"/>
            <w:vMerge w:val="restart"/>
          </w:tcPr>
          <w:p w:rsidR="00E234E6" w:rsidRPr="00DA6F24" w:rsidRDefault="00E234E6" w:rsidP="008D6E5B">
            <w:pPr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一、考核以現職最近五年年終考核為限。</w:t>
            </w:r>
          </w:p>
          <w:p w:rsidR="00E234E6" w:rsidRPr="00DA6F24" w:rsidRDefault="00E234E6" w:rsidP="008D6E5B">
            <w:pPr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二、前一年度之年終考核在校長核定後，據以核計給分。</w:t>
            </w:r>
          </w:p>
          <w:p w:rsidR="00E234E6" w:rsidRPr="00DA6F24" w:rsidRDefault="00E234E6" w:rsidP="008D6E5B">
            <w:pPr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234E6" w:rsidRPr="00383144" w:rsidTr="008D6E5B">
        <w:trPr>
          <w:trHeight w:val="551"/>
          <w:jc w:val="center"/>
        </w:trPr>
        <w:tc>
          <w:tcPr>
            <w:tcW w:w="1755" w:type="dxa"/>
            <w:vMerge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2" w:type="dxa"/>
            <w:vMerge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3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cs="璅扑擃?" w:hint="eastAsia"/>
                <w:color w:val="000000" w:themeColor="text1"/>
              </w:rPr>
              <w:t>壹</w:t>
            </w:r>
            <w:r w:rsidRPr="00DA6F24">
              <w:rPr>
                <w:rFonts w:ascii="標楷體" w:eastAsia="標楷體" w:hAnsi="標楷體" w:hint="eastAsia"/>
                <w:color w:val="000000" w:themeColor="text1"/>
              </w:rPr>
              <w:t>等</w:t>
            </w:r>
          </w:p>
        </w:tc>
        <w:tc>
          <w:tcPr>
            <w:tcW w:w="818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4063" w:type="dxa"/>
            <w:vMerge/>
          </w:tcPr>
          <w:p w:rsidR="00E234E6" w:rsidRPr="00DA6F24" w:rsidRDefault="00E234E6" w:rsidP="008D6E5B">
            <w:pPr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234E6" w:rsidRPr="00383144" w:rsidTr="008D6E5B">
        <w:trPr>
          <w:trHeight w:val="545"/>
          <w:jc w:val="center"/>
        </w:trPr>
        <w:tc>
          <w:tcPr>
            <w:tcW w:w="1755" w:type="dxa"/>
            <w:vMerge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2" w:type="dxa"/>
            <w:vMerge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3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A6F24">
              <w:rPr>
                <w:rFonts w:ascii="標楷體" w:eastAsia="標楷體" w:hAnsi="標楷體" w:hint="eastAsia"/>
                <w:color w:val="000000" w:themeColor="text1"/>
              </w:rPr>
              <w:t>貳等</w:t>
            </w:r>
            <w:proofErr w:type="gramEnd"/>
            <w:r w:rsidRPr="00DA6F24">
              <w:rPr>
                <w:rFonts w:ascii="標楷體" w:eastAsia="標楷體" w:hAnsi="標楷體"/>
                <w:color w:val="000000" w:themeColor="text1"/>
              </w:rPr>
              <w:t>(考評</w:t>
            </w:r>
            <w:r w:rsidRPr="00DA6F24">
              <w:rPr>
                <w:rFonts w:ascii="標楷體" w:eastAsia="標楷體" w:hAnsi="標楷體" w:cs="Arial Unicode MS" w:hint="eastAsia"/>
                <w:color w:val="000000" w:themeColor="text1"/>
                <w:szCs w:val="28"/>
              </w:rPr>
              <w:t>七十九分者</w:t>
            </w:r>
            <w:r w:rsidRPr="00DA6F24">
              <w:rPr>
                <w:rFonts w:ascii="標楷體" w:eastAsia="標楷體" w:hAnsi="標楷體" w:cs="Arial Unicode MS"/>
                <w:color w:val="000000" w:themeColor="text1"/>
                <w:szCs w:val="28"/>
              </w:rPr>
              <w:t>)</w:t>
            </w:r>
          </w:p>
        </w:tc>
        <w:tc>
          <w:tcPr>
            <w:tcW w:w="818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  <w:tc>
          <w:tcPr>
            <w:tcW w:w="4063" w:type="dxa"/>
            <w:vMerge/>
          </w:tcPr>
          <w:p w:rsidR="00E234E6" w:rsidRPr="00DA6F24" w:rsidRDefault="00E234E6" w:rsidP="008D6E5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234E6" w:rsidRPr="00383144" w:rsidTr="008D6E5B">
        <w:trPr>
          <w:trHeight w:val="558"/>
          <w:jc w:val="center"/>
        </w:trPr>
        <w:tc>
          <w:tcPr>
            <w:tcW w:w="1755" w:type="dxa"/>
            <w:vMerge w:val="restart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獎懲</w:t>
            </w:r>
          </w:p>
        </w:tc>
        <w:tc>
          <w:tcPr>
            <w:tcW w:w="702" w:type="dxa"/>
            <w:vMerge w:val="restart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>6</w:t>
            </w:r>
          </w:p>
        </w:tc>
        <w:tc>
          <w:tcPr>
            <w:tcW w:w="2833" w:type="dxa"/>
            <w:vAlign w:val="center"/>
          </w:tcPr>
          <w:p w:rsidR="00E234E6" w:rsidRPr="00DA6F24" w:rsidRDefault="00E234E6" w:rsidP="008D6E5B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DA6F24">
              <w:rPr>
                <w:rFonts w:hint="eastAsia"/>
                <w:color w:val="000000" w:themeColor="text1"/>
                <w:sz w:val="23"/>
                <w:szCs w:val="23"/>
              </w:rPr>
              <w:t>嘉獎</w:t>
            </w:r>
            <w:r w:rsidRPr="00DA6F24">
              <w:rPr>
                <w:color w:val="000000" w:themeColor="text1"/>
                <w:sz w:val="23"/>
                <w:szCs w:val="23"/>
              </w:rPr>
              <w:t>(</w:t>
            </w:r>
            <w:r w:rsidRPr="00DA6F24">
              <w:rPr>
                <w:rFonts w:hint="eastAsia"/>
                <w:color w:val="000000" w:themeColor="text1"/>
                <w:sz w:val="23"/>
                <w:szCs w:val="23"/>
              </w:rPr>
              <w:t>申誡</w:t>
            </w:r>
            <w:r w:rsidRPr="00DA6F24">
              <w:rPr>
                <w:color w:val="000000" w:themeColor="text1"/>
                <w:sz w:val="23"/>
                <w:szCs w:val="23"/>
              </w:rPr>
              <w:t>)</w:t>
            </w:r>
            <w:r w:rsidRPr="00DA6F24">
              <w:rPr>
                <w:rFonts w:hint="eastAsia"/>
                <w:color w:val="000000" w:themeColor="text1"/>
                <w:sz w:val="23"/>
                <w:szCs w:val="23"/>
              </w:rPr>
              <w:t>一次</w:t>
            </w:r>
            <w:r w:rsidRPr="00DA6F24">
              <w:rPr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818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>0.5</w:t>
            </w:r>
          </w:p>
        </w:tc>
        <w:tc>
          <w:tcPr>
            <w:tcW w:w="4063" w:type="dxa"/>
            <w:vMerge w:val="restart"/>
          </w:tcPr>
          <w:p w:rsidR="00E234E6" w:rsidRPr="00DA6F24" w:rsidRDefault="00E234E6" w:rsidP="008D6E5B">
            <w:pPr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一、獎懲以現職最近五年內</w:t>
            </w:r>
            <w:r w:rsidRPr="00DA6F24">
              <w:rPr>
                <w:rFonts w:ascii="標楷體" w:eastAsia="標楷體" w:hAnsi="標楷體"/>
                <w:color w:val="000000" w:themeColor="text1"/>
              </w:rPr>
              <w:t>(以辦理</w:t>
            </w:r>
            <w:proofErr w:type="gramStart"/>
            <w:r w:rsidRPr="00DA6F24">
              <w:rPr>
                <w:rFonts w:ascii="標楷體" w:eastAsia="標楷體" w:hAnsi="標楷體"/>
                <w:color w:val="000000" w:themeColor="text1"/>
              </w:rPr>
              <w:t>陞</w:t>
            </w:r>
            <w:proofErr w:type="gramEnd"/>
            <w:r w:rsidRPr="00DA6F24">
              <w:rPr>
                <w:rFonts w:ascii="標楷體" w:eastAsia="標楷體" w:hAnsi="標楷體"/>
                <w:color w:val="000000" w:themeColor="text1"/>
              </w:rPr>
              <w:t>遷當月</w:t>
            </w:r>
            <w:r w:rsidRPr="00DA6F24">
              <w:rPr>
                <w:rFonts w:ascii="標楷體" w:eastAsia="標楷體" w:hAnsi="標楷體" w:hint="eastAsia"/>
                <w:color w:val="000000" w:themeColor="text1"/>
              </w:rPr>
              <w:t>回溯計算</w:t>
            </w:r>
            <w:r w:rsidRPr="00DA6F24">
              <w:rPr>
                <w:rFonts w:ascii="標楷體" w:eastAsia="標楷體" w:hAnsi="標楷體"/>
                <w:color w:val="000000" w:themeColor="text1"/>
              </w:rPr>
              <w:t>)已核定發布者為限。</w:t>
            </w:r>
          </w:p>
          <w:p w:rsidR="00E234E6" w:rsidRPr="00DA6F24" w:rsidRDefault="00E234E6" w:rsidP="008D6E5B">
            <w:pPr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二、按左列標準</w:t>
            </w:r>
            <w:proofErr w:type="gramStart"/>
            <w:r w:rsidRPr="00DA6F24">
              <w:rPr>
                <w:rFonts w:ascii="標楷體" w:eastAsia="標楷體" w:hAnsi="標楷體" w:hint="eastAsia"/>
                <w:color w:val="000000" w:themeColor="text1"/>
              </w:rPr>
              <w:t>獎加懲減</w:t>
            </w:r>
            <w:proofErr w:type="gramEnd"/>
            <w:r w:rsidRPr="00DA6F24">
              <w:rPr>
                <w:rFonts w:ascii="標楷體" w:eastAsia="標楷體" w:hAnsi="標楷體" w:hint="eastAsia"/>
                <w:color w:val="000000" w:themeColor="text1"/>
              </w:rPr>
              <w:t>，其結果如產生負分時，</w:t>
            </w:r>
            <w:proofErr w:type="gramStart"/>
            <w:r w:rsidRPr="00DA6F24">
              <w:rPr>
                <w:rFonts w:ascii="標楷體" w:eastAsia="標楷體" w:hAnsi="標楷體" w:hint="eastAsia"/>
                <w:color w:val="000000" w:themeColor="text1"/>
              </w:rPr>
              <w:t>應倒扣</w:t>
            </w:r>
            <w:proofErr w:type="gramEnd"/>
            <w:r w:rsidRPr="00DA6F24">
              <w:rPr>
                <w:rFonts w:ascii="標楷體" w:eastAsia="標楷體" w:hAnsi="標楷體" w:hint="eastAsia"/>
                <w:color w:val="000000" w:themeColor="text1"/>
              </w:rPr>
              <w:t>總分。</w:t>
            </w:r>
          </w:p>
          <w:p w:rsidR="00E234E6" w:rsidRPr="00DA6F24" w:rsidRDefault="00E234E6" w:rsidP="008D6E5B">
            <w:pPr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三、現職最近五年內曾獲感謝狀者，每張</w:t>
            </w:r>
            <w:proofErr w:type="gramStart"/>
            <w:r w:rsidRPr="00DA6F24">
              <w:rPr>
                <w:rFonts w:ascii="標楷體" w:eastAsia="標楷體" w:hAnsi="標楷體" w:hint="eastAsia"/>
                <w:color w:val="000000" w:themeColor="text1"/>
              </w:rPr>
              <w:t>採</w:t>
            </w:r>
            <w:proofErr w:type="gramEnd"/>
            <w:r w:rsidRPr="00DA6F24">
              <w:rPr>
                <w:rFonts w:ascii="標楷體" w:eastAsia="標楷體" w:hAnsi="標楷體" w:hint="eastAsia"/>
                <w:color w:val="000000" w:themeColor="text1"/>
              </w:rPr>
              <w:t>計</w:t>
            </w:r>
            <w:r w:rsidRPr="00DA6F24">
              <w:rPr>
                <w:rFonts w:ascii="標楷體" w:eastAsia="標楷體" w:hAnsi="標楷體"/>
                <w:color w:val="000000" w:themeColor="text1"/>
              </w:rPr>
              <w:t>0.5分。</w:t>
            </w:r>
          </w:p>
        </w:tc>
      </w:tr>
      <w:tr w:rsidR="00E234E6" w:rsidRPr="00383144" w:rsidTr="008D6E5B">
        <w:trPr>
          <w:trHeight w:val="544"/>
          <w:jc w:val="center"/>
        </w:trPr>
        <w:tc>
          <w:tcPr>
            <w:tcW w:w="1755" w:type="dxa"/>
            <w:vMerge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2" w:type="dxa"/>
            <w:vMerge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3" w:type="dxa"/>
            <w:vAlign w:val="center"/>
          </w:tcPr>
          <w:p w:rsidR="00E234E6" w:rsidRPr="00DA6F24" w:rsidRDefault="00E234E6" w:rsidP="008D6E5B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DA6F24">
              <w:rPr>
                <w:rFonts w:hint="eastAsia"/>
                <w:color w:val="000000" w:themeColor="text1"/>
                <w:sz w:val="23"/>
                <w:szCs w:val="23"/>
              </w:rPr>
              <w:t>記功</w:t>
            </w:r>
            <w:r w:rsidRPr="00DA6F24">
              <w:rPr>
                <w:color w:val="000000" w:themeColor="text1"/>
                <w:sz w:val="23"/>
                <w:szCs w:val="23"/>
              </w:rPr>
              <w:t>(</w:t>
            </w:r>
            <w:r w:rsidRPr="00DA6F24">
              <w:rPr>
                <w:rFonts w:hint="eastAsia"/>
                <w:color w:val="000000" w:themeColor="text1"/>
                <w:sz w:val="23"/>
                <w:szCs w:val="23"/>
              </w:rPr>
              <w:t>記過</w:t>
            </w:r>
            <w:r w:rsidRPr="00DA6F24">
              <w:rPr>
                <w:color w:val="000000" w:themeColor="text1"/>
                <w:sz w:val="23"/>
                <w:szCs w:val="23"/>
              </w:rPr>
              <w:t>)</w:t>
            </w:r>
            <w:r w:rsidRPr="00DA6F24">
              <w:rPr>
                <w:rFonts w:hint="eastAsia"/>
                <w:color w:val="000000" w:themeColor="text1"/>
                <w:sz w:val="23"/>
                <w:szCs w:val="23"/>
              </w:rPr>
              <w:t>一次</w:t>
            </w:r>
          </w:p>
        </w:tc>
        <w:tc>
          <w:tcPr>
            <w:tcW w:w="818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4063" w:type="dxa"/>
            <w:vMerge/>
          </w:tcPr>
          <w:p w:rsidR="00E234E6" w:rsidRPr="00DA6F24" w:rsidRDefault="00E234E6" w:rsidP="008D6E5B">
            <w:pPr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234E6" w:rsidRPr="00383144" w:rsidTr="008D6E5B">
        <w:trPr>
          <w:trHeight w:val="544"/>
          <w:jc w:val="center"/>
        </w:trPr>
        <w:tc>
          <w:tcPr>
            <w:tcW w:w="1755" w:type="dxa"/>
            <w:vMerge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2" w:type="dxa"/>
            <w:vMerge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3" w:type="dxa"/>
            <w:vAlign w:val="center"/>
          </w:tcPr>
          <w:p w:rsidR="00E234E6" w:rsidRPr="00DA6F24" w:rsidRDefault="00E234E6" w:rsidP="008D6E5B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DA6F24">
              <w:rPr>
                <w:rFonts w:hint="eastAsia"/>
                <w:color w:val="000000" w:themeColor="text1"/>
                <w:sz w:val="23"/>
                <w:szCs w:val="23"/>
              </w:rPr>
              <w:t>記大功</w:t>
            </w:r>
            <w:r w:rsidRPr="00DA6F24">
              <w:rPr>
                <w:color w:val="000000" w:themeColor="text1"/>
                <w:sz w:val="23"/>
                <w:szCs w:val="23"/>
              </w:rPr>
              <w:t>(</w:t>
            </w:r>
            <w:r w:rsidRPr="00DA6F24">
              <w:rPr>
                <w:rFonts w:hint="eastAsia"/>
                <w:color w:val="000000" w:themeColor="text1"/>
                <w:sz w:val="23"/>
                <w:szCs w:val="23"/>
              </w:rPr>
              <w:t>記大過</w:t>
            </w:r>
            <w:r w:rsidRPr="00DA6F24">
              <w:rPr>
                <w:color w:val="000000" w:themeColor="text1"/>
                <w:sz w:val="23"/>
                <w:szCs w:val="23"/>
              </w:rPr>
              <w:t>)</w:t>
            </w:r>
            <w:r w:rsidRPr="00DA6F24">
              <w:rPr>
                <w:rFonts w:hint="eastAsia"/>
                <w:color w:val="000000" w:themeColor="text1"/>
                <w:sz w:val="23"/>
                <w:szCs w:val="23"/>
              </w:rPr>
              <w:t>一次</w:t>
            </w:r>
            <w:r w:rsidRPr="00DA6F24">
              <w:rPr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818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4063" w:type="dxa"/>
            <w:vMerge/>
          </w:tcPr>
          <w:p w:rsidR="00E234E6" w:rsidRPr="00DA6F24" w:rsidRDefault="00E234E6" w:rsidP="008D6E5B">
            <w:pPr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234E6" w:rsidRPr="00383144" w:rsidTr="008D6E5B">
        <w:trPr>
          <w:trHeight w:val="1084"/>
          <w:jc w:val="center"/>
        </w:trPr>
        <w:tc>
          <w:tcPr>
            <w:tcW w:w="1755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績優人員</w:t>
            </w:r>
          </w:p>
        </w:tc>
        <w:tc>
          <w:tcPr>
            <w:tcW w:w="702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2833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獲選本校績優行政人員</w:t>
            </w:r>
          </w:p>
        </w:tc>
        <w:tc>
          <w:tcPr>
            <w:tcW w:w="818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4063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以現職最近五年為限。</w:t>
            </w:r>
          </w:p>
        </w:tc>
      </w:tr>
      <w:tr w:rsidR="00E234E6" w:rsidRPr="00383144" w:rsidTr="008D6E5B">
        <w:trPr>
          <w:trHeight w:val="1059"/>
          <w:jc w:val="center"/>
        </w:trPr>
        <w:tc>
          <w:tcPr>
            <w:tcW w:w="1755" w:type="dxa"/>
            <w:vMerge w:val="restart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職務歷練</w:t>
            </w:r>
          </w:p>
        </w:tc>
        <w:tc>
          <w:tcPr>
            <w:tcW w:w="702" w:type="dxa"/>
            <w:vMerge w:val="restart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>6</w:t>
            </w:r>
          </w:p>
        </w:tc>
        <w:tc>
          <w:tcPr>
            <w:tcW w:w="2833" w:type="dxa"/>
            <w:vAlign w:val="center"/>
          </w:tcPr>
          <w:p w:rsidR="00E234E6" w:rsidRPr="00DA6F24" w:rsidRDefault="00E234E6" w:rsidP="008D6E5B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本校處、館、中心、室、部、學院、系</w:t>
            </w:r>
            <w:r w:rsidRPr="00DA6F24">
              <w:rPr>
                <w:rFonts w:ascii="標楷體" w:eastAsia="標楷體" w:hAnsi="標楷體"/>
                <w:color w:val="000000" w:themeColor="text1"/>
              </w:rPr>
              <w:t>(所、學位學程)間之遷調次數</w:t>
            </w:r>
          </w:p>
        </w:tc>
        <w:tc>
          <w:tcPr>
            <w:tcW w:w="818" w:type="dxa"/>
            <w:vAlign w:val="center"/>
          </w:tcPr>
          <w:p w:rsidR="00E234E6" w:rsidRPr="00DA6F24" w:rsidRDefault="00E234E6" w:rsidP="008D6E5B">
            <w:pPr>
              <w:ind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4063" w:type="dxa"/>
            <w:vMerge w:val="restart"/>
            <w:vAlign w:val="center"/>
          </w:tcPr>
          <w:p w:rsidR="00E234E6" w:rsidRPr="00DA6F24" w:rsidRDefault="00E234E6" w:rsidP="008D6E5B">
            <w:pPr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bCs/>
                <w:color w:val="000000" w:themeColor="text1"/>
              </w:rPr>
              <w:t>一、本項</w:t>
            </w:r>
            <w:r w:rsidRPr="00DA6F24">
              <w:rPr>
                <w:rFonts w:ascii="標楷體" w:eastAsia="標楷體" w:hAnsi="標楷體" w:hint="eastAsia"/>
                <w:color w:val="000000" w:themeColor="text1"/>
              </w:rPr>
              <w:t>遷調次數之計分，以現職及任本校</w:t>
            </w:r>
            <w:proofErr w:type="gramStart"/>
            <w:r w:rsidRPr="00DA6F24">
              <w:rPr>
                <w:rFonts w:ascii="標楷體" w:eastAsia="標楷體" w:hAnsi="標楷體" w:hint="eastAsia"/>
                <w:color w:val="000000" w:themeColor="text1"/>
              </w:rPr>
              <w:t>校</w:t>
            </w:r>
            <w:proofErr w:type="gramEnd"/>
            <w:r w:rsidRPr="00DA6F24">
              <w:rPr>
                <w:rFonts w:ascii="標楷體" w:eastAsia="標楷體" w:hAnsi="標楷體" w:hint="eastAsia"/>
                <w:color w:val="000000" w:themeColor="text1"/>
              </w:rPr>
              <w:t>基人員之</w:t>
            </w:r>
            <w:r w:rsidRPr="00DA6F24">
              <w:rPr>
                <w:rFonts w:ascii="標楷體" w:eastAsia="標楷體" w:hAnsi="標楷體"/>
                <w:color w:val="000000" w:themeColor="text1"/>
                <w:szCs w:val="23"/>
              </w:rPr>
              <w:t>最近5年</w:t>
            </w:r>
            <w:r w:rsidRPr="00DA6F24">
              <w:rPr>
                <w:rFonts w:ascii="標楷體" w:eastAsia="標楷體" w:hAnsi="標楷體" w:hint="eastAsia"/>
                <w:color w:val="000000" w:themeColor="text1"/>
              </w:rPr>
              <w:t>職務為限，不包含代理職務。</w:t>
            </w:r>
          </w:p>
          <w:p w:rsidR="00E234E6" w:rsidRPr="00DA6F24" w:rsidRDefault="00E234E6" w:rsidP="008D6E5B">
            <w:pPr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bCs/>
                <w:color w:val="000000" w:themeColor="text1"/>
              </w:rPr>
              <w:t>二、遷調職務，任</w:t>
            </w:r>
            <w:proofErr w:type="gramStart"/>
            <w:r w:rsidRPr="00DA6F24">
              <w:rPr>
                <w:rFonts w:ascii="標楷體" w:eastAsia="標楷體" w:hAnsi="標楷體" w:hint="eastAsia"/>
                <w:bCs/>
                <w:color w:val="000000" w:themeColor="text1"/>
              </w:rPr>
              <w:t>一</w:t>
            </w:r>
            <w:proofErr w:type="gramEnd"/>
            <w:r w:rsidRPr="00DA6F24">
              <w:rPr>
                <w:rFonts w:ascii="標楷體" w:eastAsia="標楷體" w:hAnsi="標楷體" w:hint="eastAsia"/>
                <w:bCs/>
                <w:color w:val="000000" w:themeColor="text1"/>
              </w:rPr>
              <w:t>職務須任職滿</w:t>
            </w:r>
            <w:r w:rsidRPr="00DA6F24">
              <w:rPr>
                <w:rFonts w:ascii="標楷體" w:eastAsia="標楷體" w:hAnsi="標楷體"/>
                <w:bCs/>
                <w:color w:val="000000" w:themeColor="text1"/>
              </w:rPr>
              <w:t>1</w:t>
            </w:r>
            <w:r w:rsidRPr="00DA6F24">
              <w:rPr>
                <w:rFonts w:ascii="標楷體" w:eastAsia="標楷體" w:hAnsi="標楷體" w:hint="eastAsia"/>
                <w:bCs/>
                <w:color w:val="000000" w:themeColor="text1"/>
              </w:rPr>
              <w:t>年方予</w:t>
            </w:r>
            <w:proofErr w:type="gramStart"/>
            <w:r w:rsidRPr="00DA6F24">
              <w:rPr>
                <w:rFonts w:ascii="標楷體" w:eastAsia="標楷體" w:hAnsi="標楷體" w:hint="eastAsia"/>
                <w:bCs/>
                <w:color w:val="000000" w:themeColor="text1"/>
              </w:rPr>
              <w:t>採</w:t>
            </w:r>
            <w:proofErr w:type="gramEnd"/>
            <w:r w:rsidRPr="00DA6F24">
              <w:rPr>
                <w:rFonts w:ascii="標楷體" w:eastAsia="標楷體" w:hAnsi="標楷體" w:hint="eastAsia"/>
                <w:bCs/>
                <w:color w:val="000000" w:themeColor="text1"/>
              </w:rPr>
              <w:t>計累計計分</w:t>
            </w:r>
            <w:r w:rsidRPr="00DA6F24">
              <w:rPr>
                <w:rFonts w:ascii="標楷體" w:eastAsia="標楷體" w:hAnsi="標楷體" w:cs="新細明體"/>
                <w:color w:val="000000" w:themeColor="text1"/>
                <w:szCs w:val="23"/>
              </w:rPr>
              <w:t>，</w:t>
            </w:r>
            <w:r w:rsidRPr="00DA6F24">
              <w:rPr>
                <w:rFonts w:ascii="標楷體" w:eastAsia="標楷體" w:hAnsi="標楷體"/>
                <w:color w:val="000000" w:themeColor="text1"/>
                <w:szCs w:val="23"/>
              </w:rPr>
              <w:t>最高</w:t>
            </w:r>
            <w:proofErr w:type="gramStart"/>
            <w:r w:rsidRPr="00DA6F24">
              <w:rPr>
                <w:rFonts w:ascii="標楷體" w:eastAsia="標楷體" w:hAnsi="標楷體"/>
                <w:color w:val="000000" w:themeColor="text1"/>
                <w:szCs w:val="23"/>
              </w:rPr>
              <w:t>採</w:t>
            </w:r>
            <w:proofErr w:type="gramEnd"/>
            <w:r w:rsidRPr="00DA6F24">
              <w:rPr>
                <w:rFonts w:ascii="標楷體" w:eastAsia="標楷體" w:hAnsi="標楷體"/>
                <w:color w:val="000000" w:themeColor="text1"/>
                <w:szCs w:val="23"/>
              </w:rPr>
              <w:t>計6分</w:t>
            </w:r>
            <w:r w:rsidRPr="00DA6F24">
              <w:rPr>
                <w:rFonts w:ascii="標楷體" w:eastAsia="標楷體" w:hAnsi="標楷體" w:hint="eastAsia"/>
                <w:bCs/>
                <w:color w:val="000000" w:themeColor="text1"/>
              </w:rPr>
              <w:t>。</w:t>
            </w:r>
          </w:p>
        </w:tc>
      </w:tr>
      <w:tr w:rsidR="00E234E6" w:rsidRPr="00383144" w:rsidTr="008D6E5B">
        <w:trPr>
          <w:trHeight w:val="1164"/>
          <w:jc w:val="center"/>
        </w:trPr>
        <w:tc>
          <w:tcPr>
            <w:tcW w:w="1755" w:type="dxa"/>
            <w:vMerge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2" w:type="dxa"/>
            <w:vMerge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3" w:type="dxa"/>
            <w:vAlign w:val="center"/>
          </w:tcPr>
          <w:p w:rsidR="00E234E6" w:rsidRPr="00DA6F24" w:rsidRDefault="00E234E6" w:rsidP="008D6E5B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本校處、館、中心、室、部單位內相當</w:t>
            </w:r>
            <w:proofErr w:type="gramStart"/>
            <w:r w:rsidRPr="00DA6F24">
              <w:rPr>
                <w:rFonts w:ascii="標楷體" w:eastAsia="標楷體" w:hAnsi="標楷體" w:hint="eastAsia"/>
                <w:color w:val="000000" w:themeColor="text1"/>
              </w:rPr>
              <w:t>組際間</w:t>
            </w:r>
            <w:proofErr w:type="gramEnd"/>
            <w:r w:rsidRPr="00DA6F24">
              <w:rPr>
                <w:rFonts w:ascii="標楷體" w:eastAsia="標楷體" w:hAnsi="標楷體" w:hint="eastAsia"/>
                <w:color w:val="000000" w:themeColor="text1"/>
              </w:rPr>
              <w:t>之遷調次數</w:t>
            </w:r>
          </w:p>
        </w:tc>
        <w:tc>
          <w:tcPr>
            <w:tcW w:w="818" w:type="dxa"/>
            <w:vAlign w:val="center"/>
          </w:tcPr>
          <w:p w:rsidR="00E234E6" w:rsidRPr="00DA6F24" w:rsidRDefault="00E234E6" w:rsidP="008D6E5B">
            <w:pPr>
              <w:ind w:left="2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  <w:tc>
          <w:tcPr>
            <w:tcW w:w="4063" w:type="dxa"/>
            <w:vMerge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dstrike/>
                <w:color w:val="000000" w:themeColor="text1"/>
              </w:rPr>
            </w:pPr>
          </w:p>
        </w:tc>
      </w:tr>
      <w:tr w:rsidR="00E234E6" w:rsidRPr="00383144" w:rsidTr="008D6E5B">
        <w:trPr>
          <w:trHeight w:val="1297"/>
          <w:jc w:val="center"/>
        </w:trPr>
        <w:tc>
          <w:tcPr>
            <w:tcW w:w="1755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訓練進修</w:t>
            </w:r>
          </w:p>
        </w:tc>
        <w:tc>
          <w:tcPr>
            <w:tcW w:w="702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2833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終身學習時數每年達</w:t>
            </w:r>
            <w:r w:rsidRPr="00DA6F24">
              <w:rPr>
                <w:rFonts w:ascii="標楷體" w:eastAsia="標楷體" w:hAnsi="標楷體"/>
                <w:color w:val="000000" w:themeColor="text1"/>
              </w:rPr>
              <w:t>50</w:t>
            </w:r>
            <w:r w:rsidRPr="00DA6F24">
              <w:rPr>
                <w:rFonts w:ascii="標楷體" w:eastAsia="標楷體" w:hAnsi="標楷體" w:hint="eastAsia"/>
                <w:color w:val="000000" w:themeColor="text1"/>
              </w:rPr>
              <w:t>小時以上者</w:t>
            </w:r>
          </w:p>
        </w:tc>
        <w:tc>
          <w:tcPr>
            <w:tcW w:w="818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  <w:tc>
          <w:tcPr>
            <w:tcW w:w="4063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與本職業務相關之終身學習時數以最近</w:t>
            </w:r>
            <w:proofErr w:type="gramStart"/>
            <w:r w:rsidRPr="00DA6F24">
              <w:rPr>
                <w:rFonts w:ascii="標楷體" w:eastAsia="標楷體" w:hAnsi="標楷體" w:hint="eastAsia"/>
                <w:color w:val="000000" w:themeColor="text1"/>
              </w:rPr>
              <w:t>五</w:t>
            </w:r>
            <w:proofErr w:type="gramEnd"/>
            <w:r w:rsidRPr="00DA6F24">
              <w:rPr>
                <w:rFonts w:ascii="標楷體" w:eastAsia="標楷體" w:hAnsi="標楷體" w:hint="eastAsia"/>
                <w:color w:val="000000" w:themeColor="text1"/>
              </w:rPr>
              <w:t>年度，</w:t>
            </w:r>
            <w:r w:rsidRPr="00DA6F24">
              <w:rPr>
                <w:rFonts w:ascii="標楷體" w:eastAsia="標楷體" w:hAnsi="標楷體" w:hint="eastAsia"/>
                <w:bCs/>
                <w:color w:val="000000" w:themeColor="text1"/>
              </w:rPr>
              <w:t>登載於本校「</w:t>
            </w:r>
            <w:proofErr w:type="gramStart"/>
            <w:r w:rsidRPr="00DA6F24">
              <w:rPr>
                <w:rFonts w:ascii="標楷體" w:eastAsia="標楷體" w:hAnsi="標楷體" w:hint="eastAsia"/>
                <w:bCs/>
                <w:color w:val="000000" w:themeColor="text1"/>
              </w:rPr>
              <w:t>線上教育</w:t>
            </w:r>
            <w:proofErr w:type="gramEnd"/>
            <w:r>
              <w:fldChar w:fldCharType="begin"/>
            </w:r>
            <w:r>
              <w:instrText xml:space="preserve"> HYPERLINK "http://iportal.ntnu.edu.tw/ssoIndex.do?apUrl=http://pms.itc.ntnu.edu.tw/PmbCourse/LDAPLoginServlet&amp;apOu=pmbCourse3&amp;datetime1=1468217023915" \t "_blank" </w:instrText>
            </w:r>
            <w:r>
              <w:fldChar w:fldCharType="separate"/>
            </w:r>
            <w:r w:rsidRPr="00DA6F24">
              <w:rPr>
                <w:rFonts w:ascii="標楷體" w:eastAsia="標楷體" w:hAnsi="標楷體" w:cs="Helvetica" w:hint="eastAsia"/>
                <w:color w:val="000000" w:themeColor="text1"/>
              </w:rPr>
              <w:t>訓練系統</w:t>
            </w:r>
            <w:r>
              <w:rPr>
                <w:rFonts w:ascii="標楷體" w:eastAsia="標楷體" w:hAnsi="標楷體" w:cs="Helvetica"/>
                <w:color w:val="000000" w:themeColor="text1"/>
              </w:rPr>
              <w:fldChar w:fldCharType="end"/>
            </w:r>
            <w:r w:rsidRPr="00DA6F24">
              <w:rPr>
                <w:rFonts w:ascii="標楷體" w:eastAsia="標楷體" w:hAnsi="標楷體" w:hint="eastAsia"/>
                <w:bCs/>
                <w:color w:val="000000" w:themeColor="text1"/>
              </w:rPr>
              <w:t>」之終身學習時數</w:t>
            </w:r>
            <w:r w:rsidRPr="00DA6F24">
              <w:rPr>
                <w:rFonts w:ascii="標楷體" w:eastAsia="標楷體" w:hAnsi="標楷體" w:hint="eastAsia"/>
                <w:color w:val="000000" w:themeColor="text1"/>
              </w:rPr>
              <w:t>者為限。</w:t>
            </w:r>
          </w:p>
        </w:tc>
      </w:tr>
      <w:tr w:rsidR="00E234E6" w:rsidRPr="00383144" w:rsidTr="008D6E5B">
        <w:trPr>
          <w:trHeight w:val="751"/>
          <w:jc w:val="center"/>
        </w:trPr>
        <w:tc>
          <w:tcPr>
            <w:tcW w:w="1755" w:type="dxa"/>
            <w:vMerge w:val="restart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英語能力</w:t>
            </w:r>
          </w:p>
        </w:tc>
        <w:tc>
          <w:tcPr>
            <w:tcW w:w="702" w:type="dxa"/>
            <w:vMerge w:val="restart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>7</w:t>
            </w:r>
          </w:p>
        </w:tc>
        <w:tc>
          <w:tcPr>
            <w:tcW w:w="2833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相當全民英檢優等</w:t>
            </w:r>
          </w:p>
        </w:tc>
        <w:tc>
          <w:tcPr>
            <w:tcW w:w="818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>7</w:t>
            </w:r>
          </w:p>
        </w:tc>
        <w:tc>
          <w:tcPr>
            <w:tcW w:w="4063" w:type="dxa"/>
            <w:vMerge w:val="restart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一、取得二項以上英語能力測驗成績證明或合格證書者，以等級最高者計分。</w:t>
            </w:r>
          </w:p>
          <w:p w:rsidR="00E234E6" w:rsidRPr="00DA6F24" w:rsidRDefault="00E234E6" w:rsidP="008D6E5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二、通過初試者不予</w:t>
            </w:r>
            <w:proofErr w:type="gramStart"/>
            <w:r w:rsidRPr="00DA6F24">
              <w:rPr>
                <w:rFonts w:ascii="標楷體" w:eastAsia="標楷體" w:hAnsi="標楷體" w:hint="eastAsia"/>
                <w:color w:val="000000" w:themeColor="text1"/>
              </w:rPr>
              <w:t>採</w:t>
            </w:r>
            <w:proofErr w:type="gramEnd"/>
            <w:r w:rsidRPr="00DA6F24">
              <w:rPr>
                <w:rFonts w:ascii="標楷體" w:eastAsia="標楷體" w:hAnsi="標楷體" w:hint="eastAsia"/>
                <w:color w:val="000000" w:themeColor="text1"/>
              </w:rPr>
              <w:t>計評分。</w:t>
            </w:r>
          </w:p>
        </w:tc>
      </w:tr>
      <w:tr w:rsidR="00E234E6" w:rsidRPr="00383144" w:rsidTr="008D6E5B">
        <w:trPr>
          <w:trHeight w:val="751"/>
          <w:jc w:val="center"/>
        </w:trPr>
        <w:tc>
          <w:tcPr>
            <w:tcW w:w="1755" w:type="dxa"/>
            <w:vMerge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2" w:type="dxa"/>
            <w:vMerge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3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相當全民英檢高級</w:t>
            </w:r>
          </w:p>
        </w:tc>
        <w:tc>
          <w:tcPr>
            <w:tcW w:w="818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>6</w:t>
            </w:r>
          </w:p>
        </w:tc>
        <w:tc>
          <w:tcPr>
            <w:tcW w:w="4063" w:type="dxa"/>
            <w:vMerge/>
          </w:tcPr>
          <w:p w:rsidR="00E234E6" w:rsidRPr="00DA6F24" w:rsidRDefault="00E234E6" w:rsidP="008D6E5B">
            <w:pPr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234E6" w:rsidRPr="00383144" w:rsidTr="008D6E5B">
        <w:trPr>
          <w:trHeight w:val="751"/>
          <w:jc w:val="center"/>
        </w:trPr>
        <w:tc>
          <w:tcPr>
            <w:tcW w:w="1755" w:type="dxa"/>
            <w:vMerge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2" w:type="dxa"/>
            <w:vMerge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3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相當全民英檢中高級</w:t>
            </w:r>
          </w:p>
        </w:tc>
        <w:tc>
          <w:tcPr>
            <w:tcW w:w="818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4063" w:type="dxa"/>
            <w:vMerge/>
          </w:tcPr>
          <w:p w:rsidR="00E234E6" w:rsidRPr="00DA6F24" w:rsidRDefault="00E234E6" w:rsidP="008D6E5B">
            <w:pPr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234E6" w:rsidRPr="00383144" w:rsidTr="008D6E5B">
        <w:trPr>
          <w:trHeight w:val="698"/>
          <w:jc w:val="center"/>
        </w:trPr>
        <w:tc>
          <w:tcPr>
            <w:tcW w:w="1755" w:type="dxa"/>
            <w:vMerge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2" w:type="dxa"/>
            <w:vMerge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3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相當全民英檢中級</w:t>
            </w:r>
          </w:p>
        </w:tc>
        <w:tc>
          <w:tcPr>
            <w:tcW w:w="818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4063" w:type="dxa"/>
            <w:vMerge/>
          </w:tcPr>
          <w:p w:rsidR="00E234E6" w:rsidRPr="00DA6F24" w:rsidRDefault="00E234E6" w:rsidP="008D6E5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234E6" w:rsidRPr="00383144" w:rsidTr="008D6E5B">
        <w:trPr>
          <w:trHeight w:val="702"/>
          <w:jc w:val="center"/>
        </w:trPr>
        <w:tc>
          <w:tcPr>
            <w:tcW w:w="1755" w:type="dxa"/>
            <w:vMerge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2" w:type="dxa"/>
            <w:vMerge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3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相當全民英檢初級</w:t>
            </w:r>
          </w:p>
        </w:tc>
        <w:tc>
          <w:tcPr>
            <w:tcW w:w="818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  <w:tc>
          <w:tcPr>
            <w:tcW w:w="4063" w:type="dxa"/>
            <w:vMerge/>
          </w:tcPr>
          <w:p w:rsidR="00E234E6" w:rsidRPr="00DA6F24" w:rsidRDefault="00E234E6" w:rsidP="008D6E5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234E6" w:rsidRPr="00383144" w:rsidTr="008D6E5B">
        <w:trPr>
          <w:trHeight w:val="630"/>
          <w:jc w:val="center"/>
        </w:trPr>
        <w:tc>
          <w:tcPr>
            <w:tcW w:w="1755" w:type="dxa"/>
            <w:vMerge w:val="restart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核心能力</w:t>
            </w:r>
          </w:p>
          <w:p w:rsidR="00E234E6" w:rsidRPr="00DA6F24" w:rsidRDefault="00E234E6" w:rsidP="008D6E5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>(由職務出缺單位與擬參加</w:t>
            </w:r>
            <w:proofErr w:type="gramStart"/>
            <w:r w:rsidRPr="00DA6F24">
              <w:rPr>
                <w:rFonts w:ascii="標楷體" w:eastAsia="標楷體" w:hAnsi="標楷體"/>
                <w:color w:val="000000" w:themeColor="text1"/>
              </w:rPr>
              <w:t>陞</w:t>
            </w:r>
            <w:proofErr w:type="gramEnd"/>
            <w:r w:rsidRPr="00DA6F24">
              <w:rPr>
                <w:rFonts w:ascii="標楷體" w:eastAsia="標楷體" w:hAnsi="標楷體"/>
                <w:color w:val="000000" w:themeColor="text1"/>
              </w:rPr>
              <w:t>遷人員原服務單位一級主管分別評分後核算及平均分數。)</w:t>
            </w:r>
          </w:p>
        </w:tc>
        <w:tc>
          <w:tcPr>
            <w:tcW w:w="702" w:type="dxa"/>
            <w:vMerge w:val="restart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>30</w:t>
            </w:r>
          </w:p>
        </w:tc>
        <w:tc>
          <w:tcPr>
            <w:tcW w:w="2833" w:type="dxa"/>
            <w:vAlign w:val="center"/>
          </w:tcPr>
          <w:p w:rsidR="00E234E6" w:rsidRPr="00DA6F24" w:rsidRDefault="00E234E6" w:rsidP="008D6E5B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DA6F24">
              <w:rPr>
                <w:rFonts w:hint="eastAsia"/>
                <w:color w:val="000000" w:themeColor="text1"/>
                <w:sz w:val="23"/>
                <w:szCs w:val="23"/>
              </w:rPr>
              <w:t>溝通協調能力</w:t>
            </w:r>
            <w:r w:rsidRPr="00DA6F24">
              <w:rPr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818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4063" w:type="dxa"/>
            <w:vAlign w:val="center"/>
          </w:tcPr>
          <w:p w:rsidR="00E234E6" w:rsidRPr="00DA6F24" w:rsidRDefault="00E234E6" w:rsidP="008D6E5B">
            <w:pPr>
              <w:pStyle w:val="Default"/>
              <w:spacing w:line="280" w:lineRule="exact"/>
              <w:jc w:val="both"/>
              <w:rPr>
                <w:color w:val="000000" w:themeColor="text1"/>
                <w:szCs w:val="22"/>
              </w:rPr>
            </w:pPr>
            <w:r w:rsidRPr="00DA6F24">
              <w:rPr>
                <w:rFonts w:hint="eastAsia"/>
                <w:color w:val="000000" w:themeColor="text1"/>
                <w:szCs w:val="22"/>
              </w:rPr>
              <w:t>能尊重他人、向主管及同事正確地表達想法、持續不斷保持溝通，能協調不同意見找出共識。</w:t>
            </w:r>
            <w:r w:rsidRPr="00DA6F24">
              <w:rPr>
                <w:color w:val="000000" w:themeColor="text1"/>
                <w:szCs w:val="22"/>
              </w:rPr>
              <w:t xml:space="preserve"> </w:t>
            </w:r>
          </w:p>
        </w:tc>
      </w:tr>
      <w:tr w:rsidR="00E234E6" w:rsidRPr="00383144" w:rsidTr="008D6E5B">
        <w:trPr>
          <w:trHeight w:val="630"/>
          <w:jc w:val="center"/>
        </w:trPr>
        <w:tc>
          <w:tcPr>
            <w:tcW w:w="1755" w:type="dxa"/>
            <w:vMerge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2" w:type="dxa"/>
            <w:vMerge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3" w:type="dxa"/>
            <w:vAlign w:val="center"/>
          </w:tcPr>
          <w:p w:rsidR="00E234E6" w:rsidRPr="00DA6F24" w:rsidRDefault="00E234E6" w:rsidP="008D6E5B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DA6F24">
              <w:rPr>
                <w:rFonts w:hint="eastAsia"/>
                <w:color w:val="000000" w:themeColor="text1"/>
                <w:sz w:val="23"/>
                <w:szCs w:val="23"/>
              </w:rPr>
              <w:t>問題解決能力</w:t>
            </w:r>
            <w:r w:rsidRPr="00DA6F24">
              <w:rPr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818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4063" w:type="dxa"/>
            <w:vAlign w:val="center"/>
          </w:tcPr>
          <w:p w:rsidR="00E234E6" w:rsidRPr="00DA6F24" w:rsidRDefault="00E234E6" w:rsidP="008D6E5B">
            <w:pPr>
              <w:pStyle w:val="Default"/>
              <w:spacing w:line="280" w:lineRule="exact"/>
              <w:jc w:val="both"/>
              <w:rPr>
                <w:color w:val="000000" w:themeColor="text1"/>
                <w:szCs w:val="22"/>
              </w:rPr>
            </w:pPr>
            <w:r w:rsidRPr="00DA6F24">
              <w:rPr>
                <w:rFonts w:hint="eastAsia"/>
                <w:color w:val="000000" w:themeColor="text1"/>
                <w:szCs w:val="22"/>
              </w:rPr>
              <w:t>能妥善迅速找出並處理工作上遇到之問題、有效調整行為，提升工作效率。</w:t>
            </w:r>
            <w:r w:rsidRPr="00DA6F24">
              <w:rPr>
                <w:color w:val="000000" w:themeColor="text1"/>
                <w:szCs w:val="22"/>
              </w:rPr>
              <w:t xml:space="preserve"> </w:t>
            </w:r>
          </w:p>
        </w:tc>
      </w:tr>
      <w:tr w:rsidR="00E234E6" w:rsidRPr="00383144" w:rsidTr="008D6E5B">
        <w:trPr>
          <w:trHeight w:val="630"/>
          <w:jc w:val="center"/>
        </w:trPr>
        <w:tc>
          <w:tcPr>
            <w:tcW w:w="1755" w:type="dxa"/>
            <w:vMerge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2" w:type="dxa"/>
            <w:vMerge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3" w:type="dxa"/>
            <w:vAlign w:val="center"/>
          </w:tcPr>
          <w:p w:rsidR="00E234E6" w:rsidRPr="00DA6F24" w:rsidRDefault="00E234E6" w:rsidP="008D6E5B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DA6F24">
              <w:rPr>
                <w:rFonts w:hint="eastAsia"/>
                <w:color w:val="000000" w:themeColor="text1"/>
                <w:sz w:val="23"/>
                <w:szCs w:val="23"/>
              </w:rPr>
              <w:t>工作績效</w:t>
            </w:r>
            <w:r w:rsidRPr="00DA6F24">
              <w:rPr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818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4063" w:type="dxa"/>
            <w:vAlign w:val="center"/>
          </w:tcPr>
          <w:p w:rsidR="00E234E6" w:rsidRPr="00DA6F24" w:rsidRDefault="00E234E6" w:rsidP="008D6E5B">
            <w:pPr>
              <w:pStyle w:val="Default"/>
              <w:spacing w:line="280" w:lineRule="exact"/>
              <w:jc w:val="both"/>
              <w:rPr>
                <w:color w:val="000000" w:themeColor="text1"/>
                <w:szCs w:val="22"/>
              </w:rPr>
            </w:pPr>
            <w:r w:rsidRPr="00DA6F24">
              <w:rPr>
                <w:rFonts w:hint="eastAsia"/>
                <w:color w:val="000000" w:themeColor="text1"/>
                <w:szCs w:val="22"/>
              </w:rPr>
              <w:t>能有效控制工作進度並如期完成主管交付任務、確保工作品質水準、願意接受較困難任務。</w:t>
            </w:r>
          </w:p>
        </w:tc>
      </w:tr>
      <w:tr w:rsidR="00E234E6" w:rsidRPr="00383144" w:rsidTr="008D6E5B">
        <w:trPr>
          <w:trHeight w:val="630"/>
          <w:jc w:val="center"/>
        </w:trPr>
        <w:tc>
          <w:tcPr>
            <w:tcW w:w="1755" w:type="dxa"/>
            <w:vMerge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2" w:type="dxa"/>
            <w:vMerge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3" w:type="dxa"/>
            <w:vAlign w:val="center"/>
          </w:tcPr>
          <w:p w:rsidR="00E234E6" w:rsidRPr="00DA6F24" w:rsidRDefault="00E234E6" w:rsidP="008D6E5B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DA6F24">
              <w:rPr>
                <w:rFonts w:hint="eastAsia"/>
                <w:color w:val="000000" w:themeColor="text1"/>
                <w:sz w:val="23"/>
                <w:szCs w:val="23"/>
              </w:rPr>
              <w:t>團隊合作</w:t>
            </w:r>
            <w:r w:rsidRPr="00DA6F24">
              <w:rPr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818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4063" w:type="dxa"/>
            <w:vAlign w:val="center"/>
          </w:tcPr>
          <w:p w:rsidR="00E234E6" w:rsidRPr="00DA6F24" w:rsidRDefault="00E234E6" w:rsidP="008D6E5B">
            <w:pPr>
              <w:pStyle w:val="Default"/>
              <w:spacing w:line="280" w:lineRule="exact"/>
              <w:jc w:val="both"/>
              <w:rPr>
                <w:color w:val="000000" w:themeColor="text1"/>
                <w:szCs w:val="22"/>
              </w:rPr>
            </w:pPr>
            <w:r w:rsidRPr="00DA6F24">
              <w:rPr>
                <w:rFonts w:hint="eastAsia"/>
                <w:color w:val="000000" w:themeColor="text1"/>
                <w:szCs w:val="22"/>
              </w:rPr>
              <w:t>尊重同仁意見、不以自我為中心、主動協助同仁達成任務、視整體的利益重於個人利益。</w:t>
            </w:r>
            <w:r w:rsidRPr="00DA6F24">
              <w:rPr>
                <w:color w:val="000000" w:themeColor="text1"/>
                <w:szCs w:val="22"/>
              </w:rPr>
              <w:t xml:space="preserve"> </w:t>
            </w:r>
          </w:p>
        </w:tc>
      </w:tr>
      <w:tr w:rsidR="00E234E6" w:rsidRPr="00383144" w:rsidTr="008D6E5B">
        <w:trPr>
          <w:trHeight w:val="776"/>
          <w:jc w:val="center"/>
        </w:trPr>
        <w:tc>
          <w:tcPr>
            <w:tcW w:w="1755" w:type="dxa"/>
            <w:vMerge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2" w:type="dxa"/>
            <w:vMerge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3" w:type="dxa"/>
            <w:vAlign w:val="center"/>
          </w:tcPr>
          <w:p w:rsidR="00E234E6" w:rsidRPr="00DA6F24" w:rsidRDefault="00E234E6" w:rsidP="008D6E5B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DA6F24">
              <w:rPr>
                <w:rFonts w:hint="eastAsia"/>
                <w:color w:val="000000" w:themeColor="text1"/>
                <w:sz w:val="23"/>
                <w:szCs w:val="23"/>
              </w:rPr>
              <w:t>發展潛能</w:t>
            </w:r>
          </w:p>
        </w:tc>
        <w:tc>
          <w:tcPr>
            <w:tcW w:w="818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4063" w:type="dxa"/>
            <w:vAlign w:val="center"/>
          </w:tcPr>
          <w:p w:rsidR="00E234E6" w:rsidRPr="00DA6F24" w:rsidRDefault="00E234E6" w:rsidP="008D6E5B">
            <w:pPr>
              <w:pStyle w:val="Default"/>
              <w:spacing w:line="280" w:lineRule="exact"/>
              <w:jc w:val="both"/>
              <w:rPr>
                <w:color w:val="000000" w:themeColor="text1"/>
                <w:szCs w:val="22"/>
              </w:rPr>
            </w:pPr>
            <w:r w:rsidRPr="00DA6F24">
              <w:rPr>
                <w:rFonts w:hint="eastAsia"/>
                <w:color w:val="000000" w:themeColor="text1"/>
                <w:szCs w:val="22"/>
              </w:rPr>
              <w:t>對於工作，可能發揮的潛在能力。</w:t>
            </w:r>
          </w:p>
        </w:tc>
      </w:tr>
      <w:tr w:rsidR="00E234E6" w:rsidRPr="00383144" w:rsidTr="008D6E5B">
        <w:trPr>
          <w:trHeight w:val="776"/>
          <w:jc w:val="center"/>
        </w:trPr>
        <w:tc>
          <w:tcPr>
            <w:tcW w:w="1755" w:type="dxa"/>
            <w:vMerge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2" w:type="dxa"/>
            <w:vMerge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3" w:type="dxa"/>
            <w:vAlign w:val="center"/>
          </w:tcPr>
          <w:p w:rsidR="00E234E6" w:rsidRPr="00DA6F24" w:rsidRDefault="00E234E6" w:rsidP="008D6E5B">
            <w:pPr>
              <w:pStyle w:val="Default"/>
              <w:jc w:val="both"/>
              <w:rPr>
                <w:color w:val="000000" w:themeColor="text1"/>
                <w:sz w:val="23"/>
                <w:szCs w:val="23"/>
              </w:rPr>
            </w:pPr>
            <w:r w:rsidRPr="00DA6F24">
              <w:rPr>
                <w:rFonts w:hint="eastAsia"/>
                <w:color w:val="000000" w:themeColor="text1"/>
                <w:sz w:val="23"/>
                <w:szCs w:val="23"/>
              </w:rPr>
              <w:t>專業力與創新力</w:t>
            </w:r>
            <w:r w:rsidRPr="00DA6F24">
              <w:rPr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818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4063" w:type="dxa"/>
            <w:vAlign w:val="center"/>
          </w:tcPr>
          <w:p w:rsidR="00E234E6" w:rsidRPr="00DA6F24" w:rsidRDefault="00E234E6" w:rsidP="008D6E5B">
            <w:pPr>
              <w:pStyle w:val="Default"/>
              <w:spacing w:line="280" w:lineRule="exact"/>
              <w:jc w:val="both"/>
              <w:rPr>
                <w:color w:val="000000" w:themeColor="text1"/>
                <w:szCs w:val="22"/>
              </w:rPr>
            </w:pPr>
            <w:r w:rsidRPr="00DA6F24">
              <w:rPr>
                <w:rFonts w:hint="eastAsia"/>
                <w:color w:val="000000" w:themeColor="text1"/>
                <w:szCs w:val="22"/>
              </w:rPr>
              <w:t>具備專業的判斷力以獨立完成主管交付任務、能熟練運用專業知識解決問題、能主動提出新建議或想法，並落實於工作中。</w:t>
            </w:r>
            <w:r w:rsidRPr="00DA6F24">
              <w:rPr>
                <w:color w:val="000000" w:themeColor="text1"/>
                <w:szCs w:val="22"/>
              </w:rPr>
              <w:t xml:space="preserve"> </w:t>
            </w:r>
          </w:p>
        </w:tc>
      </w:tr>
      <w:tr w:rsidR="00E234E6" w:rsidRPr="00383144" w:rsidTr="008D6E5B">
        <w:trPr>
          <w:trHeight w:val="896"/>
          <w:jc w:val="center"/>
        </w:trPr>
        <w:tc>
          <w:tcPr>
            <w:tcW w:w="1755" w:type="dxa"/>
            <w:vMerge w:val="restart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綜合考評</w:t>
            </w:r>
          </w:p>
        </w:tc>
        <w:tc>
          <w:tcPr>
            <w:tcW w:w="702" w:type="dxa"/>
            <w:vMerge w:val="restart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>18</w:t>
            </w:r>
          </w:p>
        </w:tc>
        <w:tc>
          <w:tcPr>
            <w:tcW w:w="2833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由出缺單位主管考評</w:t>
            </w:r>
          </w:p>
        </w:tc>
        <w:tc>
          <w:tcPr>
            <w:tcW w:w="818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>8</w:t>
            </w:r>
          </w:p>
        </w:tc>
        <w:tc>
          <w:tcPr>
            <w:tcW w:w="4063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出缺單位主管對於擬</w:t>
            </w:r>
            <w:proofErr w:type="gramStart"/>
            <w:r w:rsidRPr="00DA6F24">
              <w:rPr>
                <w:rFonts w:ascii="標楷體" w:eastAsia="標楷體" w:hAnsi="標楷體" w:hint="eastAsia"/>
                <w:color w:val="000000" w:themeColor="text1"/>
              </w:rPr>
              <w:t>陞</w:t>
            </w:r>
            <w:proofErr w:type="gramEnd"/>
            <w:r w:rsidRPr="00DA6F24">
              <w:rPr>
                <w:rFonts w:ascii="標楷體" w:eastAsia="標楷體" w:hAnsi="標楷體" w:hint="eastAsia"/>
                <w:color w:val="000000" w:themeColor="text1"/>
              </w:rPr>
              <w:t>任人員綜合考評。</w:t>
            </w:r>
          </w:p>
        </w:tc>
      </w:tr>
      <w:tr w:rsidR="00E234E6" w:rsidRPr="00383144" w:rsidTr="008D6E5B">
        <w:trPr>
          <w:trHeight w:val="776"/>
          <w:jc w:val="center"/>
        </w:trPr>
        <w:tc>
          <w:tcPr>
            <w:tcW w:w="1755" w:type="dxa"/>
            <w:vMerge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2" w:type="dxa"/>
            <w:vMerge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3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由校長考評</w:t>
            </w:r>
          </w:p>
        </w:tc>
        <w:tc>
          <w:tcPr>
            <w:tcW w:w="818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>10</w:t>
            </w:r>
          </w:p>
        </w:tc>
        <w:tc>
          <w:tcPr>
            <w:tcW w:w="4063" w:type="dxa"/>
            <w:vAlign w:val="center"/>
          </w:tcPr>
          <w:p w:rsidR="00E234E6" w:rsidRPr="00DA6F24" w:rsidRDefault="00E234E6" w:rsidP="008D6E5B">
            <w:pPr>
              <w:snapToGrid w:val="0"/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校長對於擬</w:t>
            </w:r>
            <w:proofErr w:type="gramStart"/>
            <w:r w:rsidRPr="00DA6F24">
              <w:rPr>
                <w:rFonts w:ascii="標楷體" w:eastAsia="標楷體" w:hAnsi="標楷體" w:hint="eastAsia"/>
                <w:color w:val="000000" w:themeColor="text1"/>
              </w:rPr>
              <w:t>陞</w:t>
            </w:r>
            <w:proofErr w:type="gramEnd"/>
            <w:r w:rsidRPr="00DA6F24">
              <w:rPr>
                <w:rFonts w:ascii="標楷體" w:eastAsia="標楷體" w:hAnsi="標楷體" w:hint="eastAsia"/>
                <w:color w:val="000000" w:themeColor="text1"/>
              </w:rPr>
              <w:t>任人員綜合考評。</w:t>
            </w:r>
          </w:p>
        </w:tc>
      </w:tr>
    </w:tbl>
    <w:p w:rsidR="00270C74" w:rsidRPr="00E234E6" w:rsidRDefault="00270C74"/>
    <w:sectPr w:rsidR="00270C74" w:rsidRPr="00E234E6" w:rsidSect="00E234E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璅扑擃?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E6"/>
    <w:rsid w:val="00270C74"/>
    <w:rsid w:val="00E2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5C19D-4FD1-4901-961C-44581E26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4E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34E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2025-02-14T02:49:00Z</dcterms:created>
  <dcterms:modified xsi:type="dcterms:W3CDTF">2025-02-14T02:50:00Z</dcterms:modified>
</cp:coreProperties>
</file>